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55F1C">
      <w:pPr>
        <w:pStyle w:val="11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2"/>
      <w:bookmarkStart w:id="1" w:name="OLE_LINK11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18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600855</w:t>
      </w:r>
      <w:bookmarkStart w:id="8" w:name="_GoBack"/>
      <w:bookmarkEnd w:id="8"/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11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lang w:eastAsia="zh-CN"/>
        </w:rPr>
      </w:pPr>
      <w:r>
        <w:rPr>
          <w:rFonts w:hint="eastAsia"/>
          <w:b/>
          <w:sz w:val="24"/>
          <w:szCs w:val="24"/>
          <w:highlight w:val="none"/>
          <w:lang w:eastAsia="zh-CN"/>
        </w:rPr>
        <w:t>Gothenburg, Sweden, Feb. 09-13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eastAsia="zh-CN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 xml:space="preserve"> 202</w:t>
      </w:r>
      <w:r>
        <w:rPr>
          <w:rFonts w:hint="eastAsia" w:eastAsia="宋体" w:cs="Times New Roman"/>
          <w:b/>
          <w:bCs/>
          <w:sz w:val="24"/>
          <w:szCs w:val="24"/>
          <w:highlight w:val="none"/>
          <w:lang w:val="en-US" w:eastAsia="zh-CN"/>
        </w:rPr>
        <w:t>6</w:t>
      </w:r>
    </w:p>
    <w:p w14:paraId="7103F181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37F44CB1">
      <w:pPr>
        <w:tabs>
          <w:tab w:val="left" w:pos="1765"/>
        </w:tabs>
        <w:rPr>
          <w:rFonts w:hint="eastAsia" w:ascii="Times New Roman" w:hAnsi="Times New Roman" w:eastAsia="宋体"/>
          <w:b/>
          <w:sz w:val="22"/>
          <w:highlight w:val="none"/>
          <w:lang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9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2</w:t>
      </w:r>
    </w:p>
    <w:p w14:paraId="7891286E">
      <w:pPr>
        <w:tabs>
          <w:tab w:val="left" w:pos="1765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Source: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 w14:paraId="6448A15B">
      <w:pPr>
        <w:rPr>
          <w:rFonts w:hint="default" w:ascii="Times New Roman" w:hAnsi="Times New Roman" w:eastAsia="宋体"/>
          <w:sz w:val="22"/>
          <w:lang w:val="en-US" w:eastAsia="zh-CN"/>
        </w:rPr>
      </w:pPr>
      <w:r>
        <w:rPr>
          <w:rFonts w:ascii="Times New Roman" w:hAnsi="Times New Roman"/>
          <w:b/>
          <w:sz w:val="22"/>
        </w:rPr>
        <w:t xml:space="preserve">Title: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bookmarkStart w:id="2" w:name="OLE_LINK24"/>
      <w:bookmarkStart w:id="3" w:name="OLE_LINK23"/>
      <w:bookmarkStart w:id="4" w:name="OLE_LINK8"/>
      <w:bookmarkStart w:id="5" w:name="OLE_LINK7"/>
      <w:r>
        <w:rPr>
          <w:rFonts w:ascii="Times New Roman" w:hAnsi="Times New Roman"/>
          <w:sz w:val="22"/>
        </w:rPr>
        <w:t>D</w:t>
      </w:r>
      <w:r>
        <w:rPr>
          <w:rFonts w:hint="eastAsia" w:ascii="Times New Roman" w:hAnsi="Times New Roman"/>
          <w:sz w:val="22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lang w:val="en-US" w:eastAsia="zh-CN"/>
        </w:rPr>
        <w:t>general aspects for enhancement on AI/ML for NR air interface</w:t>
      </w:r>
    </w:p>
    <w:bookmarkEnd w:id="4"/>
    <w:bookmarkEnd w:id="5"/>
    <w:p w14:paraId="7B501149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2DEF85FE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6E1AFE1">
      <w:pPr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108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new W</w:t>
      </w:r>
      <w:r>
        <w:rPr>
          <w:rFonts w:ascii="Times New Roman" w:hAnsi="Times New Roman"/>
          <w:sz w:val="20"/>
          <w:szCs w:val="20"/>
        </w:rPr>
        <w:t xml:space="preserve">ID on </w:t>
      </w:r>
      <w:r>
        <w:rPr>
          <w:rFonts w:hint="eastAsia" w:ascii="Times New Roman" w:hAnsi="Times New Roman"/>
          <w:sz w:val="20"/>
          <w:szCs w:val="20"/>
        </w:rPr>
        <w:t>Artificial Intelligence (AI)/Machine Learning (ML) for NR air interface enhancements</w:t>
      </w:r>
      <w:r>
        <w:rPr>
          <w:rFonts w:ascii="Times New Roman" w:hAnsi="Times New Roman"/>
          <w:sz w:val="20"/>
          <w:szCs w:val="20"/>
        </w:rPr>
        <w:t xml:space="preserve"> was approved [1].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RAN#110 meeting, the revised WID was approved [2]. </w:t>
      </w:r>
      <w:r>
        <w:rPr>
          <w:rFonts w:ascii="Times New Roman" w:hAnsi="Times New Roman"/>
          <w:sz w:val="20"/>
          <w:szCs w:val="20"/>
        </w:rPr>
        <w:t>The objectives for RAN4 are duplicated as following.</w:t>
      </w:r>
    </w:p>
    <w:tbl>
      <w:tblPr>
        <w:tblStyle w:val="12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53E7E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0" w:type="dxa"/>
            <w:noWrap w:val="0"/>
            <w:vAlign w:val="top"/>
          </w:tcPr>
          <w:p w14:paraId="58163B06">
            <w:p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en-US"/>
              </w:rPr>
              <w:t>Inter-vendor training collaboration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 xml:space="preserve"> for two-sided AI/ML models </w:t>
            </w:r>
          </w:p>
          <w:p w14:paraId="50A5896C">
            <w:pPr>
              <w:pStyle w:val="16"/>
              <w:numPr>
                <w:ilvl w:val="0"/>
                <w:numId w:val="4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 xml:space="preserve">Fully defined/specified reference model (“Direction C”) with RAN1 scalability study outcome taken into account [RAN4/RAN1]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ab/>
            </w:r>
          </w:p>
          <w:p w14:paraId="635EFB88">
            <w:pPr>
              <w:pStyle w:val="16"/>
              <w:numPr>
                <w:ilvl w:val="1"/>
                <w:numId w:val="4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</w:r>
          </w:p>
          <w:p w14:paraId="100A5CF0">
            <w:pPr>
              <w:pStyle w:val="16"/>
              <w:numPr>
                <w:ilvl w:val="0"/>
                <w:numId w:val="4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 xml:space="preserve">Specification of standardized dataset format/content plus dataset exchange (“Direction A, sub-option 4-1”) [RAN1/RAN2/RAN3/RAN4] </w:t>
            </w:r>
          </w:p>
          <w:p w14:paraId="789C268B">
            <w:p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021AF5D6">
            <w:p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en-US"/>
              </w:rPr>
              <w:t>Interoperability and RRM requirement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 xml:space="preserve"> [RAN4]:</w:t>
            </w:r>
          </w:p>
          <w:p w14:paraId="0A32A9CB">
            <w:pPr>
              <w:pStyle w:val="16"/>
              <w:numPr>
                <w:ilvl w:val="0"/>
                <w:numId w:val="5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>To define the requirement for the encoder, specify the standardized test decoder to guarantee interoperability</w:t>
            </w:r>
          </w:p>
          <w:p w14:paraId="382B7914">
            <w:pPr>
              <w:pStyle w:val="16"/>
              <w:numPr>
                <w:ilvl w:val="1"/>
                <w:numId w:val="5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 xml:space="preserve">The fully specified test decoder, data set, and corresponding reference encoder in RAN4 to be used for inter-vendor collaboration </w:t>
            </w:r>
          </w:p>
          <w:p w14:paraId="6F6FB84D">
            <w:pPr>
              <w:pStyle w:val="16"/>
              <w:numPr>
                <w:ilvl w:val="0"/>
                <w:numId w:val="5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>Necessary RRM requirement for specified LCM procedures.</w:t>
            </w:r>
          </w:p>
          <w:p w14:paraId="3355D0F6">
            <w:pPr>
              <w:pStyle w:val="16"/>
              <w:numPr>
                <w:ilvl w:val="0"/>
                <w:numId w:val="5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val="en-US"/>
              </w:rPr>
              <w:t>NOTE: offline training is assumed for the purpose of this project. Strive to leverage on RAN1’s study on scalable model structure in FS_NR_AIML_Air.</w:t>
            </w:r>
          </w:p>
          <w:p w14:paraId="07632351"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75C4B1C6">
      <w:pPr>
        <w:spacing w:before="180" w:after="180" w:line="240" w:lineRule="exact"/>
        <w:rPr>
          <w:rFonts w:hint="eastAsia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was discussion on </w:t>
      </w:r>
      <w:r>
        <w:rPr>
          <w:rFonts w:hint="eastAsia" w:ascii="Times New Roman" w:hAnsi="Times New Roman"/>
          <w:sz w:val="20"/>
          <w:szCs w:val="20"/>
        </w:rPr>
        <w:t>Artificial Intelligence (AI)/Machine Learning (ML) for NR air interface enhancements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, and a WF was approved [3].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 xml:space="preserve">his contribution provides discussion 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general aspects </w:t>
      </w:r>
      <w:r>
        <w:rPr>
          <w:rFonts w:hint="eastAsia" w:ascii="Times New Roman" w:hAnsi="Times New Roman"/>
          <w:sz w:val="20"/>
          <w:szCs w:val="20"/>
        </w:rPr>
        <w:t>for enhancement on AI/ML for NR air interface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.</w:t>
      </w:r>
    </w:p>
    <w:p w14:paraId="46E18B0E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 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0F264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54060689">
            <w:pPr>
              <w:spacing w:after="180" w:line="240" w:lineRule="exact"/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u w:val="none"/>
                <w:vertAlign w:val="baseline"/>
                <w:lang w:val="en-US" w:eastAsia="zh-CN"/>
              </w:rPr>
              <w:t>Agreements on dataset in last meeting:</w:t>
            </w:r>
          </w:p>
          <w:p w14:paraId="3B4F1DE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u w:val="single"/>
                <w:lang w:eastAsia="zh-CN"/>
              </w:rPr>
              <w:t>Dataset contents:</w:t>
            </w:r>
          </w:p>
          <w:p w14:paraId="5A06DF07">
            <w:pPr>
              <w:pStyle w:val="16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Agreement:</w:t>
            </w:r>
          </w:p>
          <w:p w14:paraId="19BCE5E8">
            <w:pPr>
              <w:pStyle w:val="1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Dataset consists of Eigenvectors</w:t>
            </w:r>
          </w:p>
          <w:p w14:paraId="7ECCB0C5">
            <w:pPr>
              <w:pStyle w:val="1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At least Rank 2 considered</w:t>
            </w:r>
          </w:p>
          <w:p w14:paraId="0DA67E50">
            <w:pPr>
              <w:pStyle w:val="1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FFS for rank 3 and rank 4</w:t>
            </w:r>
          </w:p>
          <w:p w14:paraId="47488992">
            <w:pPr>
              <w:pStyle w:val="1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Common procedure to select Eigenvectors:</w:t>
            </w:r>
          </w:p>
          <w:p w14:paraId="44D27CF5">
            <w:pPr>
              <w:pStyle w:val="16"/>
              <w:numPr>
                <w:ilvl w:val="2"/>
                <w:numId w:val="6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Select the right eigenvectors corresponding to the top-maximum- layer-number eigen values</w:t>
            </w:r>
          </w:p>
          <w:p w14:paraId="5A109174">
            <w:pPr>
              <w:pStyle w:val="16"/>
              <w:numPr>
                <w:ilvl w:val="2"/>
                <w:numId w:val="6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Perform column normalization by normalizing the L2 norm of each eigenvector in to 1</w:t>
            </w:r>
          </w:p>
          <w:p w14:paraId="48A8EFCC">
            <w:pPr>
              <w:pStyle w:val="1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Perform phase normalization by subtracting the angle of the first element from the angles of all the elements in each eigenvector</w:t>
            </w:r>
          </w:p>
          <w:p w14:paraId="3FED9D6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</w:p>
          <w:p w14:paraId="24AA602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u w:val="single"/>
                <w:lang w:eastAsia="zh-CN"/>
              </w:rPr>
              <w:t>How to generate the dataset (LLS, SLS etc.)</w:t>
            </w:r>
          </w:p>
          <w:p w14:paraId="06B254C3">
            <w:pPr>
              <w:pStyle w:val="16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Agreement:</w:t>
            </w:r>
          </w:p>
          <w:p w14:paraId="5E36E26F">
            <w:pPr>
              <w:pStyle w:val="1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In RAN4#118, the principle on how to define the database for training purpose will be discussed. Interested companies are encouraged to propose their principles with justification. This includes, but not limited to,</w:t>
            </w:r>
          </w:p>
          <w:p w14:paraId="7A99A96B">
            <w:pPr>
              <w:pStyle w:val="1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How to enable RAN4 requirement</w:t>
            </w:r>
          </w:p>
          <w:p w14:paraId="740559B1">
            <w:pPr>
              <w:pStyle w:val="1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If and how to ensure the requirements related to the real deployment</w:t>
            </w:r>
          </w:p>
          <w:p w14:paraId="4D514410">
            <w:pPr>
              <w:pStyle w:val="1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 xml:space="preserve">What’s needed for direction-C model. </w:t>
            </w:r>
          </w:p>
          <w:p w14:paraId="5E6F9B2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</w:p>
          <w:p w14:paraId="36DBBF5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u w:val="singl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u w:val="single"/>
                <w:lang w:eastAsia="zh-CN"/>
              </w:rPr>
              <w:t>How to check dataset alignment</w:t>
            </w:r>
          </w:p>
          <w:p w14:paraId="414D429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It may be necessary to check alignment between datasets of different companies. There was no agreement on this topic, but the following general options were presented:</w:t>
            </w:r>
          </w:p>
          <w:p w14:paraId="351E6B4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Option 1: Do not align, just combine all companies data with the same simulation assumptions</w:t>
            </w:r>
          </w:p>
          <w:p w14:paraId="6B0674FB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Option 2: Use either Rel-19 models or make new models to compare database similarity using model performance</w:t>
            </w:r>
          </w:p>
          <w:p w14:paraId="71C2BA7D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Option 3: Use a metric such as PSE, FC, SP, Samsung’s dissimilarity or NTU method</w:t>
            </w:r>
          </w:p>
          <w:p w14:paraId="5679509C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  <w:t>Other options are not precluded.</w:t>
            </w:r>
          </w:p>
          <w:p w14:paraId="65D310E8">
            <w:pPr>
              <w:spacing w:after="180" w:line="240" w:lineRule="exact"/>
              <w:rPr>
                <w:rFonts w:hint="default" w:ascii="Times New Roman" w:hAnsi="Times New Roman" w:cs="Times New Roman"/>
                <w:bCs/>
                <w:sz w:val="20"/>
                <w:szCs w:val="20"/>
                <w:u w:val="none"/>
                <w:vertAlign w:val="baseline"/>
                <w:lang w:val="en-US" w:eastAsia="zh-CN"/>
              </w:rPr>
            </w:pPr>
          </w:p>
          <w:p w14:paraId="12D99A3E">
            <w:pPr>
              <w:spacing w:after="180" w:line="240" w:lineRule="exact"/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u w:val="none"/>
                <w:vertAlign w:val="baseline"/>
                <w:lang w:val="en-US" w:eastAsia="zh-CN"/>
              </w:rPr>
              <w:t xml:space="preserve">Agreements on 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u w:val="no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u w:val="none"/>
                <w:lang w:eastAsia="zh-CN"/>
              </w:rPr>
              <w:t>teps to develop the test decoder and reference encoder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u w:val="none"/>
                <w:lang w:val="en-US" w:eastAsia="zh-CN"/>
              </w:rPr>
              <w:t xml:space="preserve"> in RAN4#116bis:</w:t>
            </w:r>
          </w:p>
          <w:p w14:paraId="732D708E">
            <w:pPr>
              <w:pStyle w:val="16"/>
              <w:numPr>
                <w:ilvl w:val="0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Step 1:  Create dataset</w:t>
            </w:r>
          </w:p>
          <w:p w14:paraId="6A5DBCFC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Yu Mincho" w:cs="Times New Roman"/>
                <w:sz w:val="20"/>
                <w:szCs w:val="20"/>
              </w:rPr>
              <w:t>Step 1-1: Align on configurations for mixed dataset construction, taking factors such as scalability over Tx port number and subband size and payload size into account</w:t>
            </w:r>
          </w:p>
          <w:p w14:paraId="36950A05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Yu Mincho" w:cs="Times New Roman"/>
                <w:sz w:val="20"/>
                <w:szCs w:val="20"/>
              </w:rPr>
              <w:t>Step 1-2 Decide how align and on which metrics can be used for evaluating dataset alignment, if any</w:t>
            </w:r>
          </w:p>
          <w:p w14:paraId="758BDA2C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Yu Mincho" w:cs="Times New Roman"/>
                <w:sz w:val="20"/>
                <w:szCs w:val="20"/>
              </w:rPr>
              <w:t>Step 1-3 Companies create datasets</w:t>
            </w:r>
          </w:p>
          <w:p w14:paraId="006F355C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Step 1-4 Identify which company datasets to include in the mixed dataset(s)</w:t>
            </w:r>
          </w:p>
          <w:p w14:paraId="033C9FCF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Yu Mincho" w:cs="Times New Roman"/>
                <w:sz w:val="20"/>
                <w:szCs w:val="20"/>
              </w:rPr>
              <w:t>Step 1-5 Create new dataset(s)</w:t>
            </w:r>
          </w:p>
          <w:p w14:paraId="362BAF30">
            <w:pPr>
              <w:pStyle w:val="16"/>
              <w:numPr>
                <w:ilvl w:val="0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Step 2: Align on the model backbone, model hyperparameters and the scalability solution. </w:t>
            </w:r>
          </w:p>
          <w:p w14:paraId="7167D7E3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Step 2-1: Proposed model structures (model backbone and model hyperparameters) are brought by companies, as well as proposed scalability solution. </w:t>
            </w:r>
          </w:p>
          <w:p w14:paraId="26A59235">
            <w:pPr>
              <w:pStyle w:val="16"/>
              <w:numPr>
                <w:ilvl w:val="2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This can be in parallel with step 1. </w:t>
            </w:r>
          </w:p>
          <w:p w14:paraId="2D5385C5">
            <w:pPr>
              <w:pStyle w:val="16"/>
              <w:numPr>
                <w:ilvl w:val="2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Transformer is agreed as baseline for backbone</w:t>
            </w:r>
          </w:p>
          <w:p w14:paraId="6A257B12">
            <w:pPr>
              <w:pStyle w:val="16"/>
              <w:numPr>
                <w:ilvl w:val="2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Same backbone for test decoder and reference encoder</w:t>
            </w:r>
          </w:p>
          <w:p w14:paraId="1B2EC4ED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Step 2-2: Preliminary selection of structures, taking into account complexity</w:t>
            </w:r>
          </w:p>
          <w:p w14:paraId="471DC2E3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[Step 2-2a Align on training parameters]</w:t>
            </w:r>
          </w:p>
          <w:p w14:paraId="7095A471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Step 2-3: Agree on metrics and steps for evaluation</w:t>
            </w:r>
          </w:p>
          <w:p w14:paraId="31FCF798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Step 2-4: Check on performance alignment -&gt; see simulation results from contributing companies.</w:t>
            </w:r>
          </w:p>
          <w:p w14:paraId="1F9CE80C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Step 2-5: Share models (encoder or decoder or both)/datasets (training/testing/inference), if needed.</w:t>
            </w:r>
          </w:p>
          <w:p w14:paraId="3CF1AD89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Step 2-6: Select one or more model structures considering complexity and robustness and decide how many models.</w:t>
            </w:r>
          </w:p>
          <w:p w14:paraId="263F34AE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Step 2-7: Select one or more scalability solutions. This step can be done in parallel with Steps 2-2 to 2-4.</w:t>
            </w:r>
          </w:p>
          <w:p w14:paraId="70636BE5">
            <w:pPr>
              <w:pStyle w:val="16"/>
              <w:numPr>
                <w:ilvl w:val="0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Step 3: Specify the model for the following work in WID. Where and how to specify may need further discussion.</w:t>
            </w:r>
          </w:p>
          <w:p w14:paraId="5BE7EB4C">
            <w:pPr>
              <w:pStyle w:val="16"/>
              <w:spacing w:before="120" w:after="120"/>
              <w:ind w:left="936" w:firstLine="0" w:firstLineChars="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Note: At this stage, models using the agreed structures, dataset, scalability have already been created by most companies</w:t>
            </w:r>
          </w:p>
          <w:p w14:paraId="50789843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Step 3-1 Decide how to select from the trained model(s) from each company</w:t>
            </w:r>
          </w:p>
          <w:p w14:paraId="095B0C68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Step 3-2: Freeze model(s)</w:t>
            </w:r>
          </w:p>
          <w:p w14:paraId="7833F3F7">
            <w:pPr>
              <w:pStyle w:val="16"/>
              <w:numPr>
                <w:ilvl w:val="1"/>
                <w:numId w:val="7"/>
              </w:numPr>
              <w:spacing w:before="120" w:after="120"/>
              <w:ind w:firstLineChars="0"/>
              <w:rPr>
                <w:rFonts w:hint="default" w:ascii="Times New Roman" w:hAnsi="Times New Roman" w:cs="Times New Roman"/>
                <w:bCs/>
                <w:sz w:val="20"/>
                <w:szCs w:val="2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Step 3-3: Agree on how and where to capture the models, the dataset and relevant information</w:t>
            </w:r>
          </w:p>
        </w:tc>
      </w:tr>
    </w:tbl>
    <w:p w14:paraId="4FE770A1">
      <w:pPr>
        <w:spacing w:after="180" w:line="240" w:lineRule="exact"/>
        <w:rPr>
          <w:rFonts w:hint="eastAsia" w:ascii="Times New Roman" w:hAnsi="Times New Roman" w:cs="Times New Roman"/>
          <w:bCs/>
          <w:sz w:val="20"/>
          <w:szCs w:val="20"/>
          <w:u w:val="none"/>
          <w:lang w:val="en-US" w:eastAsia="zh-CN"/>
        </w:rPr>
      </w:pPr>
    </w:p>
    <w:p w14:paraId="6E2D383E">
      <w:pPr>
        <w:spacing w:after="180" w:line="240" w:lineRule="exact"/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 xml:space="preserve">In Rel-19 evaluation about the feasibility of test options, dataset are created based on agreed system level simulation assumption [3], which are duplicated as following. </w:t>
      </w:r>
    </w:p>
    <w:p w14:paraId="726A218B">
      <w:pPr>
        <w:jc w:val="center"/>
        <w:rPr>
          <w:rFonts w:hint="default" w:ascii="Times New Roman" w:hAnsi="Times New Roman" w:eastAsia="宋体" w:cs="Times New Roman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0"/>
          <w:szCs w:val="20"/>
        </w:rPr>
        <w:t>System-level simulation parameters</w:t>
      </w:r>
      <w:r>
        <w:rPr>
          <w:rFonts w:hint="eastAsia" w:ascii="Times New Roman" w:hAnsi="Times New Roman" w:cs="Times New Roman"/>
          <w:b/>
          <w:bCs/>
          <w:i w:val="0"/>
          <w:iCs w:val="0"/>
          <w:sz w:val="20"/>
          <w:szCs w:val="20"/>
          <w:lang w:val="en-US" w:eastAsia="zh-CN"/>
        </w:rPr>
        <w:t xml:space="preserve"> [3]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42"/>
        <w:gridCol w:w="5621"/>
      </w:tblGrid>
      <w:tr w14:paraId="507B8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C95C628">
            <w:pPr>
              <w:pStyle w:val="20"/>
              <w:spacing w:line="256" w:lineRule="auto"/>
            </w:pPr>
            <w:r>
              <w:t>Parameter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8DFE5B1">
            <w:pPr>
              <w:pStyle w:val="20"/>
              <w:spacing w:line="256" w:lineRule="auto"/>
            </w:pPr>
            <w:r>
              <w:t>Value</w:t>
            </w:r>
          </w:p>
        </w:tc>
      </w:tr>
      <w:tr w14:paraId="61217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836A2">
            <w:pPr>
              <w:pStyle w:val="22"/>
              <w:spacing w:line="256" w:lineRule="auto"/>
            </w:pPr>
            <w:r>
              <w:rPr>
                <w:lang w:eastAsia="zh-CN"/>
              </w:rPr>
              <w:t>Duplex, Waveform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4B21A">
            <w:pPr>
              <w:pStyle w:val="21"/>
              <w:spacing w:line="256" w:lineRule="auto"/>
              <w:jc w:val="left"/>
            </w:pPr>
            <w:r>
              <w:t>FDD, OFDM</w:t>
            </w:r>
          </w:p>
        </w:tc>
      </w:tr>
      <w:tr w14:paraId="53AFD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07537">
            <w:pPr>
              <w:pStyle w:val="22"/>
              <w:spacing w:line="256" w:lineRule="auto"/>
            </w:pPr>
            <w:r>
              <w:rPr>
                <w:lang w:eastAsia="zh-CN"/>
              </w:rPr>
              <w:t>Multiple access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D9AFF">
            <w:pPr>
              <w:pStyle w:val="21"/>
              <w:spacing w:line="256" w:lineRule="auto"/>
              <w:jc w:val="left"/>
            </w:pPr>
            <w:r>
              <w:t>OFDMA</w:t>
            </w:r>
          </w:p>
        </w:tc>
      </w:tr>
      <w:tr w14:paraId="00D2F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C9297">
            <w:pPr>
              <w:pStyle w:val="22"/>
              <w:spacing w:line="256" w:lineRule="auto"/>
            </w:pPr>
            <w:r>
              <w:rPr>
                <w:lang w:eastAsia="zh-CN"/>
              </w:rPr>
              <w:t>Scenario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05D95">
            <w:pPr>
              <w:keepNext/>
              <w:keepLines/>
              <w:spacing w:after="0" w:line="25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Dense Urban (Macro only)</w:t>
            </w:r>
          </w:p>
        </w:tc>
      </w:tr>
      <w:tr w14:paraId="282D2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E3BB5">
            <w:pPr>
              <w:pStyle w:val="22"/>
              <w:spacing w:line="256" w:lineRule="auto"/>
            </w:pPr>
            <w:r>
              <w:rPr>
                <w:lang w:eastAsia="zh-CN"/>
              </w:rPr>
              <w:t>Frequency Range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5593B">
            <w:pPr>
              <w:pStyle w:val="21"/>
              <w:spacing w:line="256" w:lineRule="auto"/>
              <w:jc w:val="left"/>
            </w:pPr>
            <w:r>
              <w:rPr>
                <w:snapToGrid w:val="0"/>
              </w:rPr>
              <w:t>FR1 only, [2GHz, 4GHz]</w:t>
            </w:r>
          </w:p>
        </w:tc>
      </w:tr>
      <w:tr w14:paraId="5A535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8E4D8">
            <w:pPr>
              <w:pStyle w:val="22"/>
              <w:spacing w:line="256" w:lineRule="auto"/>
            </w:pPr>
            <w:r>
              <w:rPr>
                <w:lang w:eastAsia="zh-CN"/>
              </w:rPr>
              <w:t>Inter-BS distance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01647">
            <w:pPr>
              <w:pStyle w:val="21"/>
              <w:spacing w:line="256" w:lineRule="auto"/>
              <w:jc w:val="left"/>
            </w:pPr>
            <w:r>
              <w:t>200m</w:t>
            </w:r>
          </w:p>
        </w:tc>
      </w:tr>
      <w:tr w14:paraId="5BF20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A8D5C">
            <w:pPr>
              <w:pStyle w:val="22"/>
              <w:spacing w:line="256" w:lineRule="auto"/>
            </w:pPr>
            <w:r>
              <w:rPr>
                <w:lang w:val="en-US" w:eastAsia="zh-CN"/>
              </w:rPr>
              <w:t>Channel model        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DDC1D">
            <w:pPr>
              <w:pStyle w:val="21"/>
              <w:spacing w:line="256" w:lineRule="auto"/>
              <w:jc w:val="left"/>
            </w:pPr>
            <w:r>
              <w:t>According to TR 38.901</w:t>
            </w:r>
          </w:p>
        </w:tc>
      </w:tr>
      <w:tr w14:paraId="73E54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420B2">
            <w:pPr>
              <w:pStyle w:val="22"/>
              <w:spacing w:line="256" w:lineRule="auto"/>
            </w:pPr>
            <w:r>
              <w:rPr>
                <w:lang w:eastAsia="zh-CN"/>
              </w:rPr>
              <w:t>Antenna setup and port layouts at gNB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74081">
            <w:pPr>
              <w:keepNext/>
              <w:keepLines/>
              <w:spacing w:after="0" w:line="256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Companies need to report which option(s) are used between</w:t>
            </w:r>
          </w:p>
          <w:p w14:paraId="05D267D0">
            <w:pPr>
              <w:keepNext/>
              <w:keepLines/>
              <w:spacing w:after="0" w:line="256" w:lineRule="auto"/>
              <w:jc w:val="both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- 32 ports: (8,8,2,1,1,2,8), (dH,dV) = (0.5, 0.8)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λ</w:t>
            </w:r>
          </w:p>
        </w:tc>
      </w:tr>
      <w:tr w14:paraId="3A609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64E43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Antenna setup and port layouts at UE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53289">
            <w:pPr>
              <w:widowControl w:val="0"/>
              <w:spacing w:after="0" w:line="256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4RX: (1,2,2,1,1,1,2), (dH,dV) = (0.5, 0.5)λ for (rank 1-4)</w:t>
            </w:r>
          </w:p>
        </w:tc>
      </w:tr>
      <w:tr w14:paraId="7F5B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70025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BS Tx power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D59D0">
            <w:pPr>
              <w:pStyle w:val="21"/>
              <w:keepNext w:val="0"/>
              <w:keepLines w:val="0"/>
              <w:widowControl w:val="0"/>
              <w:spacing w:line="256" w:lineRule="auto"/>
              <w:jc w:val="left"/>
              <w:rPr>
                <w:rFonts w:eastAsia="MS Mincho" w:cs="Arial"/>
                <w:szCs w:val="18"/>
                <w:lang w:eastAsia="en-US"/>
              </w:rPr>
            </w:pPr>
            <w:r>
              <w:rPr>
                <w:rFonts w:eastAsia="宋体" w:cs="Arial"/>
                <w:szCs w:val="18"/>
                <w:lang w:eastAsia="zh-CN"/>
              </w:rPr>
              <w:t>44dBm for 20MHz</w:t>
            </w:r>
          </w:p>
        </w:tc>
      </w:tr>
      <w:tr w14:paraId="08CC8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1F135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BS antenna height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F66ED">
            <w:pPr>
              <w:pStyle w:val="21"/>
              <w:keepNext w:val="0"/>
              <w:keepLines w:val="0"/>
              <w:widowControl w:val="0"/>
              <w:spacing w:line="256" w:lineRule="auto"/>
              <w:jc w:val="left"/>
              <w:rPr>
                <w:rFonts w:eastAsia="MS Mincho" w:cs="Arial"/>
                <w:szCs w:val="18"/>
                <w:lang w:eastAsia="en-US"/>
              </w:rPr>
            </w:pPr>
            <w:r>
              <w:rPr>
                <w:rFonts w:eastAsia="宋体" w:cs="Arial"/>
                <w:szCs w:val="18"/>
                <w:lang w:eastAsia="zh-CN"/>
              </w:rPr>
              <w:t>25m</w:t>
            </w:r>
          </w:p>
        </w:tc>
      </w:tr>
      <w:tr w14:paraId="54A62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B3604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UE antenna height &amp; gain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405FB">
            <w:pPr>
              <w:pStyle w:val="21"/>
              <w:keepNext w:val="0"/>
              <w:keepLines w:val="0"/>
              <w:widowControl w:val="0"/>
              <w:spacing w:line="256" w:lineRule="auto"/>
              <w:jc w:val="left"/>
              <w:rPr>
                <w:rFonts w:eastAsia="MS Mincho" w:cs="Arial"/>
                <w:szCs w:val="18"/>
                <w:lang w:eastAsia="en-US"/>
              </w:rPr>
            </w:pPr>
            <w:r>
              <w:rPr>
                <w:rFonts w:eastAsia="宋体" w:cs="Arial"/>
                <w:szCs w:val="18"/>
                <w:lang w:eastAsia="zh-CN"/>
              </w:rPr>
              <w:t>Follow TR36.873</w:t>
            </w:r>
          </w:p>
        </w:tc>
      </w:tr>
      <w:tr w14:paraId="50DC9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70A46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UE receiver noise figure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1DB73">
            <w:pPr>
              <w:pStyle w:val="21"/>
              <w:keepNext w:val="0"/>
              <w:keepLines w:val="0"/>
              <w:widowControl w:val="0"/>
              <w:spacing w:line="256" w:lineRule="auto"/>
              <w:jc w:val="left"/>
              <w:rPr>
                <w:rFonts w:eastAsia="MS Mincho" w:cs="Arial"/>
                <w:szCs w:val="18"/>
                <w:lang w:eastAsia="en-US"/>
              </w:rPr>
            </w:pPr>
            <w:r>
              <w:rPr>
                <w:rFonts w:eastAsia="宋体" w:cs="Arial"/>
                <w:szCs w:val="18"/>
                <w:lang w:eastAsia="zh-CN"/>
              </w:rPr>
              <w:t>9dB</w:t>
            </w:r>
          </w:p>
        </w:tc>
      </w:tr>
      <w:tr w14:paraId="68B86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B9491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Numerology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F5140">
            <w:pPr>
              <w:pStyle w:val="2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Slot/non-slot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CBE2C">
            <w:pPr>
              <w:pStyle w:val="21"/>
              <w:keepNext w:val="0"/>
              <w:keepLines w:val="0"/>
              <w:widowControl w:val="0"/>
              <w:spacing w:line="256" w:lineRule="auto"/>
              <w:jc w:val="left"/>
              <w:rPr>
                <w:rFonts w:eastAsia="MS Mincho" w:cs="Arial"/>
                <w:szCs w:val="18"/>
                <w:lang w:eastAsia="en-US"/>
              </w:rPr>
            </w:pPr>
            <w:r>
              <w:rPr>
                <w:rFonts w:eastAsia="宋体"/>
                <w:lang w:eastAsia="zh-CN"/>
              </w:rPr>
              <w:t>14 OFDM symbol slot</w:t>
            </w:r>
          </w:p>
        </w:tc>
      </w:tr>
      <w:tr w14:paraId="1B82A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2B284">
            <w:pPr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713AC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A7D49">
            <w:pPr>
              <w:pStyle w:val="21"/>
              <w:keepNext w:val="0"/>
              <w:spacing w:line="252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Baseline: 15kHz for 2GHz; </w:t>
            </w:r>
          </w:p>
          <w:p w14:paraId="2AA51E28">
            <w:pPr>
              <w:pStyle w:val="21"/>
              <w:keepNext w:val="0"/>
              <w:keepLines w:val="0"/>
              <w:widowControl w:val="0"/>
              <w:spacing w:line="256" w:lineRule="auto"/>
              <w:jc w:val="left"/>
              <w:rPr>
                <w:rFonts w:hint="eastAsia" w:eastAsia="游明朝"/>
                <w:lang w:eastAsia="ja-JP"/>
              </w:rPr>
            </w:pPr>
            <w:r>
              <w:rPr>
                <w:lang w:eastAsia="zh-CN"/>
              </w:rPr>
              <w:t>Optional: 30kHz for 4GHz</w:t>
            </w:r>
          </w:p>
        </w:tc>
      </w:tr>
      <w:tr w14:paraId="6582F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1BD0C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Simulation bandwidth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E7304">
            <w:pPr>
              <w:pStyle w:val="21"/>
              <w:keepNext w:val="0"/>
              <w:spacing w:line="252" w:lineRule="auto"/>
              <w:jc w:val="left"/>
              <w:rPr>
                <w:snapToGrid w:val="0"/>
              </w:rPr>
            </w:pPr>
            <w:r>
              <w:rPr>
                <w:lang w:eastAsia="zh-CN"/>
              </w:rPr>
              <w:t xml:space="preserve">Baseline: </w:t>
            </w:r>
            <w:r>
              <w:rPr>
                <w:snapToGrid w:val="0"/>
              </w:rPr>
              <w:t>10 MHz for 15kHz</w:t>
            </w:r>
          </w:p>
          <w:p w14:paraId="4E8F2B75">
            <w:pPr>
              <w:pStyle w:val="21"/>
              <w:keepNext w:val="0"/>
              <w:keepLines w:val="0"/>
              <w:widowControl w:val="0"/>
              <w:spacing w:line="256" w:lineRule="auto"/>
              <w:jc w:val="left"/>
              <w:rPr>
                <w:rFonts w:eastAsia="MS Mincho"/>
                <w:snapToGrid w:val="0"/>
                <w:lang w:eastAsia="en-US"/>
              </w:rPr>
            </w:pPr>
            <w:r>
              <w:rPr>
                <w:rFonts w:hint="eastAsia"/>
                <w:snapToGrid w:val="0"/>
              </w:rPr>
              <w:t>Optional: 20 MHz for 30kHz</w:t>
            </w:r>
          </w:p>
        </w:tc>
      </w:tr>
      <w:tr w14:paraId="3A308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1CA68">
            <w:pPr>
              <w:pStyle w:val="22"/>
              <w:keepNext w:val="0"/>
              <w:keepLines w:val="0"/>
              <w:widowControl w:val="0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Frame structure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EEEEB">
            <w:pPr>
              <w:pStyle w:val="21"/>
              <w:keepNext w:val="0"/>
              <w:keepLines w:val="0"/>
              <w:widowControl w:val="0"/>
              <w:spacing w:line="256" w:lineRule="auto"/>
              <w:jc w:val="left"/>
              <w:rPr>
                <w:rFonts w:eastAsia="MS Mincho" w:cs="Arial"/>
                <w:szCs w:val="18"/>
                <w:lang w:eastAsia="en-US"/>
              </w:rPr>
            </w:pPr>
            <w:r>
              <w:rPr>
                <w:rFonts w:eastAsia="宋体" w:cs="Arial"/>
                <w:szCs w:val="18"/>
                <w:lang w:eastAsia="zh-CN"/>
              </w:rPr>
              <w:t>Slot Format 0 (all downlink) for all slots</w:t>
            </w:r>
          </w:p>
        </w:tc>
      </w:tr>
      <w:tr w14:paraId="1FA5F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C00B4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MIMO scheme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3DEC4">
            <w:pPr>
              <w:pStyle w:val="21"/>
              <w:keepNext w:val="0"/>
              <w:keepLines w:val="0"/>
              <w:widowControl w:val="0"/>
              <w:spacing w:line="256" w:lineRule="auto"/>
              <w:jc w:val="left"/>
              <w:rPr>
                <w:rFonts w:eastAsia="MS Mincho" w:cs="Arial"/>
                <w:szCs w:val="18"/>
                <w:lang w:eastAsia="en-US"/>
              </w:rPr>
            </w:pPr>
            <w:r>
              <w:rPr>
                <w:rFonts w:cs="Arial"/>
                <w:szCs w:val="18"/>
              </w:rPr>
              <w:t>SU-MIMO</w:t>
            </w:r>
          </w:p>
        </w:tc>
      </w:tr>
      <w:tr w14:paraId="3EB13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B884E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MIMO layers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8FCBD">
            <w:pPr>
              <w:pStyle w:val="21"/>
              <w:keepNext w:val="0"/>
              <w:spacing w:line="252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Baseline: 1</w:t>
            </w:r>
          </w:p>
          <w:p w14:paraId="5944C7C9">
            <w:pPr>
              <w:pStyle w:val="21"/>
              <w:keepNext w:val="0"/>
              <w:keepLines w:val="0"/>
              <w:widowControl w:val="0"/>
              <w:spacing w:line="256" w:lineRule="auto"/>
              <w:jc w:val="left"/>
              <w:rPr>
                <w:rFonts w:eastAsia="MS Mincho" w:cs="Arial"/>
                <w:szCs w:val="18"/>
                <w:lang w:eastAsia="en-US"/>
              </w:rPr>
            </w:pPr>
            <w:r>
              <w:rPr>
                <w:rFonts w:hint="eastAsia"/>
                <w:lang w:eastAsia="zh-CN"/>
              </w:rPr>
              <w:t>Optional: 2</w:t>
            </w:r>
          </w:p>
        </w:tc>
      </w:tr>
      <w:tr w14:paraId="287D0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C4B12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CSI feedback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8BF76">
            <w:pPr>
              <w:widowControl w:val="0"/>
              <w:spacing w:after="0" w:line="256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Feedback assumption at least for baseline scheme</w:t>
            </w:r>
          </w:p>
          <w:p w14:paraId="3FD60E79">
            <w:pPr>
              <w:widowControl w:val="0"/>
              <w:spacing w:after="0" w:line="221" w:lineRule="atLeast"/>
              <w:jc w:val="both"/>
              <w:textAlignment w:val="baseline"/>
              <w:rPr>
                <w:rFonts w:ascii="Arial" w:hAnsi="Arial" w:eastAsia="Microsoft YaHei UI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icrosoft YaHei UI" w:cs="Arial"/>
                <w:sz w:val="18"/>
                <w:szCs w:val="18"/>
                <w:lang w:eastAsia="zh-CN"/>
              </w:rPr>
              <w:t xml:space="preserve">- CSI feedback periodicity </w:t>
            </w:r>
            <w:r>
              <w:rPr>
                <w:rFonts w:ascii="Arial" w:hAnsi="Arial" w:eastAsia="Microsoft YaHei UI" w:cs="Arial"/>
                <w:sz w:val="14"/>
                <w:szCs w:val="14"/>
                <w:lang w:eastAsia="zh-CN"/>
              </w:rPr>
              <w:t>(full CSI feedback)</w:t>
            </w:r>
            <w:r>
              <w:rPr>
                <w:rFonts w:ascii="Arial" w:hAnsi="Arial" w:eastAsia="Microsoft YaHei UI" w:cs="Arial"/>
                <w:sz w:val="18"/>
                <w:szCs w:val="18"/>
                <w:lang w:eastAsia="zh-CN"/>
              </w:rPr>
              <w:t>: 5 ms (baseline)</w:t>
            </w:r>
          </w:p>
          <w:p w14:paraId="11F6147F">
            <w:pPr>
              <w:widowControl w:val="0"/>
              <w:spacing w:after="0" w:line="221" w:lineRule="atLeast"/>
              <w:jc w:val="both"/>
              <w:textAlignment w:val="baseline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icrosoft YaHei UI" w:cs="Arial"/>
                <w:sz w:val="18"/>
                <w:szCs w:val="18"/>
                <w:lang w:eastAsia="zh-CN"/>
              </w:rPr>
              <w:t xml:space="preserve">- Scheduling delay </w:t>
            </w:r>
            <w:r>
              <w:rPr>
                <w:rFonts w:ascii="Arial" w:hAnsi="Arial" w:eastAsia="Microsoft YaHei UI" w:cs="Arial"/>
                <w:sz w:val="14"/>
                <w:szCs w:val="14"/>
                <w:lang w:eastAsia="zh-CN"/>
              </w:rPr>
              <w:t>(from CSI feedback to time to apply in scheduling)</w:t>
            </w:r>
            <w:r>
              <w:rPr>
                <w:rFonts w:ascii="Arial" w:hAnsi="Arial" w:eastAsia="Microsoft YaHei UI" w:cs="Arial"/>
                <w:sz w:val="18"/>
                <w:szCs w:val="18"/>
                <w:lang w:eastAsia="zh-CN"/>
              </w:rPr>
              <w:t>: 4 ms</w:t>
            </w:r>
          </w:p>
        </w:tc>
      </w:tr>
      <w:tr w14:paraId="4645A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7061C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Traffic load (Resource utilization)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23BE3">
            <w:pPr>
              <w:pStyle w:val="21"/>
              <w:keepNext w:val="0"/>
              <w:spacing w:line="252" w:lineRule="auto"/>
              <w:jc w:val="left"/>
            </w:pPr>
            <w:r>
              <w:t>Baseline: 50%</w:t>
            </w:r>
          </w:p>
          <w:p w14:paraId="79803386">
            <w:pPr>
              <w:pStyle w:val="21"/>
              <w:keepNext w:val="0"/>
              <w:keepLines w:val="0"/>
              <w:widowControl w:val="0"/>
              <w:spacing w:line="256" w:lineRule="auto"/>
              <w:jc w:val="left"/>
              <w:rPr>
                <w:rFonts w:eastAsia="MS Mincho" w:cs="Arial"/>
                <w:szCs w:val="18"/>
                <w:lang w:eastAsia="en-US"/>
              </w:rPr>
            </w:pPr>
            <w:r>
              <w:rPr>
                <w:rFonts w:hint="eastAsia"/>
              </w:rPr>
              <w:t>Optional: 20/70%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14:paraId="06593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78AE0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UE distribution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7A81D">
            <w:pPr>
              <w:widowControl w:val="0"/>
              <w:spacing w:after="0" w:line="256" w:lineRule="auto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CSI compression: 80% indoor (3 km/h), 20% outdoor (30 km/h)</w:t>
            </w:r>
          </w:p>
        </w:tc>
      </w:tr>
      <w:tr w14:paraId="48A65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1468C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UE receiver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C4240">
            <w:pPr>
              <w:pStyle w:val="21"/>
              <w:keepNext w:val="0"/>
              <w:keepLines w:val="0"/>
              <w:widowControl w:val="0"/>
              <w:spacing w:line="256" w:lineRule="auto"/>
              <w:jc w:val="left"/>
              <w:rPr>
                <w:rFonts w:eastAsia="MS Mincho" w:cs="Arial"/>
                <w:szCs w:val="18"/>
                <w:lang w:eastAsia="en-US"/>
              </w:rPr>
            </w:pPr>
            <w:r>
              <w:rPr>
                <w:rFonts w:eastAsia="宋体" w:cs="Arial"/>
                <w:szCs w:val="18"/>
                <w:lang w:eastAsia="zh-CN"/>
              </w:rPr>
              <w:t>MMSE-IRC as the baseline receiver</w:t>
            </w:r>
          </w:p>
        </w:tc>
      </w:tr>
      <w:tr w14:paraId="1DD7B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99713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Feedback assumption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57FE1">
            <w:pPr>
              <w:pStyle w:val="21"/>
              <w:keepNext w:val="0"/>
              <w:keepLines w:val="0"/>
              <w:widowControl w:val="0"/>
              <w:spacing w:line="256" w:lineRule="auto"/>
              <w:jc w:val="left"/>
              <w:rPr>
                <w:rFonts w:eastAsia="MS Mincho" w:cs="Arial"/>
                <w:szCs w:val="18"/>
                <w:lang w:eastAsia="en-US"/>
              </w:rPr>
            </w:pPr>
            <w:r>
              <w:rPr>
                <w:rFonts w:eastAsia="宋体" w:cs="Arial"/>
                <w:szCs w:val="18"/>
                <w:lang w:eastAsia="zh-CN"/>
              </w:rPr>
              <w:t>Realistic</w:t>
            </w:r>
          </w:p>
        </w:tc>
      </w:tr>
      <w:tr w14:paraId="72A83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59747">
            <w:pPr>
              <w:pStyle w:val="22"/>
              <w:keepNext w:val="0"/>
              <w:keepLines w:val="0"/>
              <w:widowControl w:val="0"/>
              <w:spacing w:line="256" w:lineRule="auto"/>
              <w:rPr>
                <w:rFonts w:cs="Times New Roman"/>
                <w:szCs w:val="20"/>
                <w:lang w:eastAsia="zh-CN"/>
              </w:rPr>
            </w:pPr>
            <w:r>
              <w:rPr>
                <w:lang w:val="en-US" w:eastAsia="zh-CN"/>
              </w:rPr>
              <w:t>Channel estimation         </w:t>
            </w:r>
          </w:p>
        </w:tc>
        <w:tc>
          <w:tcPr>
            <w:tcW w:w="5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97ACD">
            <w:pPr>
              <w:widowControl w:val="0"/>
              <w:spacing w:after="0" w:line="256" w:lineRule="auto"/>
              <w:rPr>
                <w:rFonts w:hint="eastAsia" w:eastAsia="游明朝" w:cs="Arial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Realistic</w:t>
            </w:r>
            <w:r>
              <w:rPr>
                <w:rFonts w:hint="eastAsia" w:ascii="Arial" w:hAnsi="Arial" w:eastAsia="游明朝" w:cs="Arial"/>
                <w:sz w:val="18"/>
                <w:szCs w:val="18"/>
                <w:lang w:val="en-US" w:eastAsia="ja-JP"/>
              </w:rPr>
              <w:t xml:space="preserve"> or ideal channel estimation</w:t>
            </w:r>
          </w:p>
          <w:p w14:paraId="6C78D5A0">
            <w:pPr>
              <w:pStyle w:val="21"/>
              <w:keepNext w:val="0"/>
              <w:keepLines w:val="0"/>
              <w:widowControl w:val="0"/>
              <w:spacing w:line="256" w:lineRule="auto"/>
              <w:jc w:val="left"/>
              <w:rPr>
                <w:rFonts w:cs="Arial"/>
                <w:szCs w:val="18"/>
              </w:rPr>
            </w:pPr>
          </w:p>
        </w:tc>
      </w:tr>
    </w:tbl>
    <w:p w14:paraId="3B15CD44">
      <w:pPr>
        <w:rPr>
          <w:rFonts w:hint="eastAsia" w:eastAsia="MS Mincho"/>
        </w:rPr>
      </w:pPr>
    </w:p>
    <w:p w14:paraId="0CF75F76">
      <w:pPr>
        <w:spacing w:after="180" w:line="240" w:lineRule="exact"/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System-level simulation parameters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 xml:space="preserve"> used in Rel-19 to create dataset can be used baseline, and further update on number of subbands, number of Tx ports, and CSI feedback payload size to consider the scalability.</w:t>
      </w:r>
    </w:p>
    <w:p w14:paraId="198ACF02">
      <w:pPr>
        <w:spacing w:after="180" w:line="240" w:lineRule="exact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Proposal 1: for dataset generalization, it is proposed that the system-level simulation parameters used in Rel-19 can be used baseline, with update on number of subbands, number of Tx ports, payload size from the perspective of scalability.</w:t>
      </w:r>
    </w:p>
    <w:p w14:paraId="25298581">
      <w:pPr>
        <w:spacing w:after="180" w:line="240" w:lineRule="exact"/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Cs/>
          <w:sz w:val="20"/>
          <w:szCs w:val="20"/>
          <w:lang w:val="en-US" w:eastAsia="zh-CN"/>
        </w:rPr>
        <w:t>Considering that the discrepancy of dataset distribution would have affect on the performance of the AI/ML models, it is necessary to align the dataset. But the metrics/methods to judge the alignment of dataset are not decided, and need to be considered.</w:t>
      </w:r>
    </w:p>
    <w:p w14:paraId="1438CCE2">
      <w:pPr>
        <w:spacing w:after="180" w:line="240" w:lineRule="exact"/>
        <w:rPr>
          <w:rFonts w:hint="default" w:ascii="Times New Roman" w:hAnsi="Times New Roman" w:cs="Times New Roman"/>
          <w:b/>
          <w:bCs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 w:val="0"/>
          <w:sz w:val="20"/>
          <w:szCs w:val="20"/>
          <w:lang w:val="en-US" w:eastAsia="zh-CN"/>
        </w:rPr>
        <w:t>Proposal 2: alignment between datasets of different companies is necessary, and the metrics/methods to judge the alignment of dataset can be further discussed.</w:t>
      </w:r>
    </w:p>
    <w:bookmarkEnd w:id="6"/>
    <w:bookmarkEnd w:id="7"/>
    <w:p w14:paraId="0AAB701D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</w:t>
      </w: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n</w:t>
      </w:r>
    </w:p>
    <w:p w14:paraId="0FD1933D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general aspects for two-sided AI/ML models</w:t>
      </w:r>
      <w:r>
        <w:rPr>
          <w:rFonts w:hint="eastAsia" w:ascii="Times New Roman" w:hAnsi="Times New Roman"/>
          <w:sz w:val="20"/>
          <w:szCs w:val="20"/>
        </w:rPr>
        <w:t>. The proposals are:</w:t>
      </w:r>
    </w:p>
    <w:p w14:paraId="35CF7BEB">
      <w:pPr>
        <w:spacing w:after="180" w:line="240" w:lineRule="exact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Proposal 1: for dataset generalization, it is proposed that the system-level simulation parameters used in Rel-19 can be used baseline, with update on number of subbands, number of Tx ports, payload size from the perspective of scalability.</w:t>
      </w:r>
    </w:p>
    <w:p w14:paraId="3FDF3D3D">
      <w:pPr>
        <w:spacing w:after="180" w:line="240" w:lineRule="exact"/>
        <w:rPr>
          <w:rFonts w:hint="eastAsia" w:ascii="Times New Roman" w:hAnsi="Times New Roman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 w:val="0"/>
          <w:sz w:val="20"/>
          <w:szCs w:val="20"/>
          <w:lang w:val="en-US" w:eastAsia="zh-CN"/>
        </w:rPr>
        <w:t>Proposal 2: alignment between datasets of different companies is necessary, and the metrics/methods to judge the alignment of dataset can be further discussed.</w:t>
      </w:r>
    </w:p>
    <w:p w14:paraId="68A5D763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351FD48C">
      <w:pPr>
        <w:pStyle w:val="18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RP-251870, New WI: Artificial Intelligence (AI)/Machine Learning (ML) for NR air interface enhancements</w:t>
      </w:r>
    </w:p>
    <w:p w14:paraId="1B571C56">
      <w:pPr>
        <w:pStyle w:val="18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RP-253340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Revised WID: Artificial Intelligence (AI)/Machine Learning (ML) for NR air interface Phase 2</w:t>
      </w:r>
    </w:p>
    <w:p w14:paraId="6F28D5C6">
      <w:pPr>
        <w:pStyle w:val="18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R4-2522432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[117][123] R20 NR_AIML_air_Ph2, Ericsson</w:t>
      </w:r>
    </w:p>
    <w:p w14:paraId="0736C57C">
      <w:pPr>
        <w:pStyle w:val="18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>R4-2514614, WF on R20 NR_AIML_air_Ph2, Ericsson</w:t>
      </w:r>
    </w:p>
    <w:p w14:paraId="0D366D1F">
      <w:pPr>
        <w:pStyle w:val="18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R4-2401570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AI/ML, Qualcomm Incorporated</w:t>
      </w:r>
    </w:p>
    <w:p w14:paraId="3C63F738">
      <w:pPr>
        <w:pStyle w:val="18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R4-2503953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AI/ML air interface study</w:t>
      </w:r>
    </w:p>
    <w:p w14:paraId="1B6067D0">
      <w:pPr>
        <w:pStyle w:val="18"/>
        <w:framePr w:wrap="auto" w:vAnchor="margin" w:hAnchor="text" w:yAlign="inline"/>
        <w:numPr>
          <w:ilvl w:val="0"/>
          <w:numId w:val="8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R4-2511849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[116][132] NR_AIML_air_part2, Ericsson</w:t>
      </w:r>
    </w:p>
    <w:p w14:paraId="3E9138E2">
      <w:pPr>
        <w:pStyle w:val="18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6F79A3B3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4C778E2"/>
    <w:multiLevelType w:val="multilevel"/>
    <w:tmpl w:val="04C778E2"/>
    <w:lvl w:ilvl="0" w:tentative="0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2F5D4836"/>
    <w:multiLevelType w:val="multilevel"/>
    <w:tmpl w:val="2F5D4836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80B6417"/>
    <w:multiLevelType w:val="multilevel"/>
    <w:tmpl w:val="580B6417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0610"/>
    <w:rsid w:val="01DC7BC0"/>
    <w:rsid w:val="020874E3"/>
    <w:rsid w:val="02366D2D"/>
    <w:rsid w:val="029045F8"/>
    <w:rsid w:val="02BB6F86"/>
    <w:rsid w:val="03315CCB"/>
    <w:rsid w:val="033C6CCE"/>
    <w:rsid w:val="041E7AB7"/>
    <w:rsid w:val="04AB06C0"/>
    <w:rsid w:val="04B0587E"/>
    <w:rsid w:val="04F47B1C"/>
    <w:rsid w:val="05FD1662"/>
    <w:rsid w:val="063103EA"/>
    <w:rsid w:val="065345EF"/>
    <w:rsid w:val="07AF30A6"/>
    <w:rsid w:val="084A6C23"/>
    <w:rsid w:val="08C01BD2"/>
    <w:rsid w:val="0A12645E"/>
    <w:rsid w:val="0A7A49BE"/>
    <w:rsid w:val="0BDF4286"/>
    <w:rsid w:val="0CFD51A3"/>
    <w:rsid w:val="0DE85960"/>
    <w:rsid w:val="0E2315D2"/>
    <w:rsid w:val="0EB3632D"/>
    <w:rsid w:val="0EEF4E8D"/>
    <w:rsid w:val="0FDE2595"/>
    <w:rsid w:val="0FE50EF5"/>
    <w:rsid w:val="107700EF"/>
    <w:rsid w:val="13156148"/>
    <w:rsid w:val="151A3F0B"/>
    <w:rsid w:val="152450D6"/>
    <w:rsid w:val="15685863"/>
    <w:rsid w:val="156D67CC"/>
    <w:rsid w:val="15774DC7"/>
    <w:rsid w:val="158970AB"/>
    <w:rsid w:val="15C5068C"/>
    <w:rsid w:val="16967F0A"/>
    <w:rsid w:val="16C20D68"/>
    <w:rsid w:val="17EE3251"/>
    <w:rsid w:val="1869036D"/>
    <w:rsid w:val="18C26AAD"/>
    <w:rsid w:val="19D35C0A"/>
    <w:rsid w:val="1A4B52AF"/>
    <w:rsid w:val="1B097409"/>
    <w:rsid w:val="1B8C2C7D"/>
    <w:rsid w:val="1BDE38AF"/>
    <w:rsid w:val="1C79747B"/>
    <w:rsid w:val="1D1B764B"/>
    <w:rsid w:val="1F423097"/>
    <w:rsid w:val="200653B6"/>
    <w:rsid w:val="202D5DF0"/>
    <w:rsid w:val="20576A8F"/>
    <w:rsid w:val="21A25EC1"/>
    <w:rsid w:val="21CD1190"/>
    <w:rsid w:val="22C91E20"/>
    <w:rsid w:val="233F4A51"/>
    <w:rsid w:val="239448A4"/>
    <w:rsid w:val="245C2C9F"/>
    <w:rsid w:val="24BB4727"/>
    <w:rsid w:val="250671CD"/>
    <w:rsid w:val="25830931"/>
    <w:rsid w:val="259C54CD"/>
    <w:rsid w:val="26944BFD"/>
    <w:rsid w:val="27BB3844"/>
    <w:rsid w:val="295E6B72"/>
    <w:rsid w:val="2DD14D37"/>
    <w:rsid w:val="2E990003"/>
    <w:rsid w:val="2EC43DB8"/>
    <w:rsid w:val="2F3D3244"/>
    <w:rsid w:val="308E7578"/>
    <w:rsid w:val="309A667E"/>
    <w:rsid w:val="311F0FAA"/>
    <w:rsid w:val="3159659D"/>
    <w:rsid w:val="31C72739"/>
    <w:rsid w:val="32420EA7"/>
    <w:rsid w:val="32717C27"/>
    <w:rsid w:val="3295408B"/>
    <w:rsid w:val="32FD70C0"/>
    <w:rsid w:val="33076BD7"/>
    <w:rsid w:val="36311397"/>
    <w:rsid w:val="36915B95"/>
    <w:rsid w:val="36D5158E"/>
    <w:rsid w:val="372F00FC"/>
    <w:rsid w:val="39616E69"/>
    <w:rsid w:val="397B647A"/>
    <w:rsid w:val="39DC502A"/>
    <w:rsid w:val="3A2D7A1A"/>
    <w:rsid w:val="3A692ADF"/>
    <w:rsid w:val="3A923B26"/>
    <w:rsid w:val="3ABD5C6D"/>
    <w:rsid w:val="3ACA0A98"/>
    <w:rsid w:val="3ACA3C80"/>
    <w:rsid w:val="3ADD5C61"/>
    <w:rsid w:val="3B8E7980"/>
    <w:rsid w:val="3CA05E05"/>
    <w:rsid w:val="3D0535AB"/>
    <w:rsid w:val="3DEB4836"/>
    <w:rsid w:val="3DEF01B7"/>
    <w:rsid w:val="3E2541EE"/>
    <w:rsid w:val="3FB76397"/>
    <w:rsid w:val="402E3A57"/>
    <w:rsid w:val="40905E46"/>
    <w:rsid w:val="41C815FA"/>
    <w:rsid w:val="421A2D76"/>
    <w:rsid w:val="42830949"/>
    <w:rsid w:val="42E06053"/>
    <w:rsid w:val="43FC159A"/>
    <w:rsid w:val="45185DAE"/>
    <w:rsid w:val="4582291E"/>
    <w:rsid w:val="465D5FD1"/>
    <w:rsid w:val="46A636F7"/>
    <w:rsid w:val="476218AB"/>
    <w:rsid w:val="47F77D5E"/>
    <w:rsid w:val="4815134F"/>
    <w:rsid w:val="49574F07"/>
    <w:rsid w:val="4AD27C51"/>
    <w:rsid w:val="4B16773E"/>
    <w:rsid w:val="4B525B6F"/>
    <w:rsid w:val="4BF70D1F"/>
    <w:rsid w:val="4C147660"/>
    <w:rsid w:val="4C3933BB"/>
    <w:rsid w:val="4C9C083E"/>
    <w:rsid w:val="4D115B26"/>
    <w:rsid w:val="4D3D03C8"/>
    <w:rsid w:val="4D4D0662"/>
    <w:rsid w:val="4D85114F"/>
    <w:rsid w:val="4F234726"/>
    <w:rsid w:val="519613CC"/>
    <w:rsid w:val="5217567C"/>
    <w:rsid w:val="52DB3750"/>
    <w:rsid w:val="53AA57A5"/>
    <w:rsid w:val="549E0D64"/>
    <w:rsid w:val="563034C0"/>
    <w:rsid w:val="566930C6"/>
    <w:rsid w:val="56CD4670"/>
    <w:rsid w:val="56E016B0"/>
    <w:rsid w:val="56F77C07"/>
    <w:rsid w:val="57B0086C"/>
    <w:rsid w:val="57FF46CB"/>
    <w:rsid w:val="585844FD"/>
    <w:rsid w:val="5879537F"/>
    <w:rsid w:val="59034374"/>
    <w:rsid w:val="590A2003"/>
    <w:rsid w:val="5999038C"/>
    <w:rsid w:val="5A4761D8"/>
    <w:rsid w:val="5A5907CA"/>
    <w:rsid w:val="5A715FC6"/>
    <w:rsid w:val="5AC558FB"/>
    <w:rsid w:val="5AC66592"/>
    <w:rsid w:val="5B146E30"/>
    <w:rsid w:val="5B2B0B23"/>
    <w:rsid w:val="5CBC141D"/>
    <w:rsid w:val="5D0B4E13"/>
    <w:rsid w:val="5DE0757A"/>
    <w:rsid w:val="5DE63D68"/>
    <w:rsid w:val="5E08401F"/>
    <w:rsid w:val="5E145FE7"/>
    <w:rsid w:val="5E2B562E"/>
    <w:rsid w:val="5E47553D"/>
    <w:rsid w:val="5E6261E1"/>
    <w:rsid w:val="5EC3209F"/>
    <w:rsid w:val="5ED80E84"/>
    <w:rsid w:val="5F783E00"/>
    <w:rsid w:val="5FEE32EF"/>
    <w:rsid w:val="62A95749"/>
    <w:rsid w:val="62D046AC"/>
    <w:rsid w:val="62EE1251"/>
    <w:rsid w:val="634877EE"/>
    <w:rsid w:val="644D521F"/>
    <w:rsid w:val="65674A25"/>
    <w:rsid w:val="6731395C"/>
    <w:rsid w:val="67695C6E"/>
    <w:rsid w:val="67B46602"/>
    <w:rsid w:val="68CA01FA"/>
    <w:rsid w:val="69567192"/>
    <w:rsid w:val="6A3A3665"/>
    <w:rsid w:val="6A52659E"/>
    <w:rsid w:val="6B870356"/>
    <w:rsid w:val="6BE35B73"/>
    <w:rsid w:val="6C2143D4"/>
    <w:rsid w:val="6CCE4B92"/>
    <w:rsid w:val="6D026C8E"/>
    <w:rsid w:val="6D092287"/>
    <w:rsid w:val="6D205895"/>
    <w:rsid w:val="6D7E0FF0"/>
    <w:rsid w:val="6DF758F9"/>
    <w:rsid w:val="6E997A2F"/>
    <w:rsid w:val="70D64348"/>
    <w:rsid w:val="720D5752"/>
    <w:rsid w:val="731743ED"/>
    <w:rsid w:val="73D04B2A"/>
    <w:rsid w:val="740D27BD"/>
    <w:rsid w:val="74126C56"/>
    <w:rsid w:val="748766BE"/>
    <w:rsid w:val="74C23D1D"/>
    <w:rsid w:val="74EF066E"/>
    <w:rsid w:val="75886832"/>
    <w:rsid w:val="773771F4"/>
    <w:rsid w:val="77932298"/>
    <w:rsid w:val="79263F52"/>
    <w:rsid w:val="7AA34743"/>
    <w:rsid w:val="7AC06311"/>
    <w:rsid w:val="7B750329"/>
    <w:rsid w:val="7C3F4164"/>
    <w:rsid w:val="7C5D034E"/>
    <w:rsid w:val="7C6D39AE"/>
    <w:rsid w:val="7D002024"/>
    <w:rsid w:val="7D59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tabs>
        <w:tab w:val="left" w:pos="576"/>
      </w:tabs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left" w:pos="1146"/>
      </w:tabs>
      <w:spacing w:before="120"/>
      <w:outlineLvl w:val="2"/>
    </w:pPr>
    <w:rPr>
      <w:sz w:val="24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3"/>
    <w:basedOn w:val="6"/>
    <w:qFormat/>
    <w:uiPriority w:val="0"/>
    <w:pPr>
      <w:ind w:left="1135"/>
    </w:pPr>
  </w:style>
  <w:style w:type="paragraph" w:styleId="6">
    <w:name w:val="List 2"/>
    <w:basedOn w:val="7"/>
    <w:qFormat/>
    <w:uiPriority w:val="0"/>
    <w:pPr>
      <w:ind w:left="851"/>
    </w:pPr>
  </w:style>
  <w:style w:type="paragraph" w:styleId="7">
    <w:name w:val="List"/>
    <w:basedOn w:val="1"/>
    <w:qFormat/>
    <w:uiPriority w:val="0"/>
    <w:pPr>
      <w:ind w:left="568" w:hanging="284"/>
    </w:p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Body Text"/>
    <w:basedOn w:val="1"/>
    <w:qFormat/>
    <w:uiPriority w:val="0"/>
  </w:style>
  <w:style w:type="paragraph" w:styleId="10">
    <w:name w:val="Date"/>
    <w:basedOn w:val="1"/>
    <w:next w:val="1"/>
    <w:unhideWhenUsed/>
    <w:qFormat/>
    <w:uiPriority w:val="99"/>
    <w:pPr>
      <w:ind w:left="100" w:leftChars="2500"/>
    </w:pPr>
  </w:style>
  <w:style w:type="paragraph" w:styleId="11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13">
    <w:name w:val="Table Grid"/>
    <w:basedOn w:val="12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annotation reference"/>
    <w:semiHidden/>
    <w:qFormat/>
    <w:uiPriority w:val="99"/>
    <w:rPr>
      <w:sz w:val="16"/>
    </w:rPr>
  </w:style>
  <w:style w:type="paragraph" w:styleId="1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7">
    <w:name w:val="Proposal"/>
    <w:basedOn w:val="9"/>
    <w:qFormat/>
    <w:uiPriority w:val="0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="Calibri" w:cs="Times New Roman"/>
      <w:b/>
      <w:bCs/>
      <w:szCs w:val="22"/>
      <w:lang w:val="en-US" w:eastAsia="zh-CN"/>
    </w:rPr>
  </w:style>
  <w:style w:type="paragraph" w:customStyle="1" w:styleId="1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0">
    <w:name w:val="TAH"/>
    <w:basedOn w:val="21"/>
    <w:qFormat/>
    <w:uiPriority w:val="0"/>
    <w:rPr>
      <w:b/>
    </w:rPr>
  </w:style>
  <w:style w:type="paragraph" w:customStyle="1" w:styleId="21">
    <w:name w:val="TAC"/>
    <w:basedOn w:val="22"/>
    <w:qFormat/>
    <w:uiPriority w:val="0"/>
    <w:pPr>
      <w:jc w:val="center"/>
    </w:pPr>
  </w:style>
  <w:style w:type="paragraph" w:customStyle="1" w:styleId="2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3">
    <w:name w:val="TAN"/>
    <w:basedOn w:val="22"/>
    <w:qFormat/>
    <w:uiPriority w:val="0"/>
    <w:pPr>
      <w:ind w:left="851" w:hanging="851"/>
    </w:pPr>
  </w:style>
  <w:style w:type="paragraph" w:customStyle="1" w:styleId="24">
    <w:name w:val="B1"/>
    <w:basedOn w:val="7"/>
    <w:qFormat/>
    <w:uiPriority w:val="0"/>
  </w:style>
  <w:style w:type="paragraph" w:customStyle="1" w:styleId="25">
    <w:name w:val="B2"/>
    <w:basedOn w:val="6"/>
    <w:qFormat/>
    <w:uiPriority w:val="0"/>
  </w:style>
  <w:style w:type="paragraph" w:customStyle="1" w:styleId="26">
    <w:name w:val="B3"/>
    <w:basedOn w:val="5"/>
    <w:qFormat/>
    <w:uiPriority w:val="0"/>
  </w:style>
  <w:style w:type="paragraph" w:customStyle="1" w:styleId="27">
    <w:name w:val="TF"/>
    <w:basedOn w:val="19"/>
    <w:qFormat/>
    <w:uiPriority w:val="0"/>
    <w:pPr>
      <w:keepNext w:val="0"/>
      <w:spacing w:before="0" w:after="24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2024-11-06T09:33:00Z</dcterms:created>
  <dc:creator>cmcc</dc:creator>
  <cp:lastModifiedBy>Jingjing_CMCC</cp:lastModifiedBy>
  <dcterms:modified xsi:type="dcterms:W3CDTF">2026-01-30T06:21:13Z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6869B0C1A34749A384ADE3AAD7A61322</vt:lpwstr>
  </property>
</Properties>
</file>